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00" w:after="600"/>
        <w:jc w:val="center"/>
      </w:pPr>
      <w:r>
        <w:rPr>
          <w:rFonts w:ascii="Arial" w:hAnsi="Arial"/>
          <w:color w:val="000000"/>
          <w:sz w:val="32"/>
        </w:rPr>
        <w:t>PULL UP A CHAIR</w:t>
      </w:r>
    </w:p>
    <w:p>
      <w:pPr>
        <w:spacing w:after="1000"/>
        <w:jc w:val="center"/>
      </w:pPr>
      <w:r>
        <w:rPr>
          <w:rFonts w:ascii="Arial" w:hAnsi="Arial"/>
          <w:b/>
          <w:color w:val="0091AD"/>
          <w:sz w:val="80"/>
        </w:rPr>
        <w:t>Safety Net Simulator Facilitation Guide</w:t>
      </w:r>
    </w:p>
    <w:p>
      <w:pPr>
        <w:spacing w:before="1000"/>
        <w:jc w:val="center"/>
      </w:pPr>
      <w:r>
        <w:rPr>
          <w:rFonts w:ascii="Arial" w:hAnsi="Arial"/>
          <w:color w:val="555555"/>
          <w:sz w:val="20"/>
        </w:rPr>
        <w:t>mBOLDen Change · mboldenchange.org</w:t>
      </w:r>
    </w:p>
    <w:p>
      <w:r>
        <w:br w:type="page"/>
      </w:r>
    </w:p>
    <w:p>
      <w:pPr>
        <w:spacing w:after="400"/>
      </w:pPr>
      <w:r>
        <w:drawing>
          <wp:inline xmlns:a="http://schemas.openxmlformats.org/drawingml/2006/main" xmlns:pic="http://schemas.openxmlformats.org/drawingml/2006/picture">
            <wp:extent cx="1828800" cy="121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9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spacing w:after="240"/>
      </w:pPr>
      <w:r>
        <w:rPr>
          <w:rFonts w:ascii="Arial" w:hAnsi="Arial"/>
          <w:b/>
          <w:color w:val="0091AD"/>
          <w:sz w:val="56"/>
        </w:rPr>
        <w:t>What This Is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The Safety Net Simulator puts people inside a budget decision, not outside it. You receive a household profile — a real family with real income, real expenses, and real tradeoffs — and make the same cuts Congress made. No abstractions. No talking points. You choose which line item to cut from someone’s life.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It shifts perspectives in ways that infographics, policy memos, and slide decks do not — because the experience is felt, not read.</w:t>
      </w:r>
    </w:p>
    <w:p>
      <w:pPr>
        <w:pStyle w:val="Heading1"/>
        <w:spacing w:after="240"/>
      </w:pPr>
      <w:r>
        <w:rPr>
          <w:rFonts w:ascii="Arial" w:hAnsi="Arial"/>
          <w:b/>
          <w:color w:val="0091AD"/>
          <w:sz w:val="56"/>
        </w:rPr>
        <w:t>When to Use It</w:t>
      </w:r>
    </w:p>
    <w:p>
      <w:pPr>
        <w:pStyle w:val="ListBullet"/>
        <w:spacing w:after="160"/>
      </w:pPr>
      <w:r>
        <w:rPr>
          <w:rFonts w:ascii="Arial" w:hAnsi="Arial"/>
          <w:i w:val="0"/>
          <w:color w:val="000000"/>
          <w:sz w:val="24"/>
        </w:rPr>
        <w:t>Community meetings and town halls — Ten minutes on the simulator before any presentation. The room feels it before they hear it.</w:t>
      </w:r>
    </w:p>
    <w:p>
      <w:pPr>
        <w:pStyle w:val="ListBullet"/>
        <w:spacing w:after="160"/>
      </w:pPr>
      <w:r>
        <w:rPr>
          <w:rFonts w:ascii="Arial" w:hAnsi="Arial"/>
          <w:i w:val="0"/>
          <w:color w:val="000000"/>
          <w:sz w:val="24"/>
        </w:rPr>
        <w:t>Staff trainings and onboarding — Grounds new team members in the lived reality of the households you serve.</w:t>
      </w:r>
    </w:p>
    <w:p>
      <w:pPr>
        <w:pStyle w:val="ListBullet"/>
        <w:spacing w:after="160"/>
      </w:pPr>
      <w:r>
        <w:rPr>
          <w:rFonts w:ascii="Arial" w:hAnsi="Arial"/>
          <w:i w:val="0"/>
          <w:color w:val="000000"/>
          <w:sz w:val="24"/>
        </w:rPr>
        <w:t>Donor events and board presentations — Opens with concrete human cost, not abstract policy. Reframes the conversation before it starts.</w:t>
      </w:r>
    </w:p>
    <w:p>
      <w:pPr>
        <w:pStyle w:val="ListBullet"/>
        <w:spacing w:after="160"/>
      </w:pPr>
      <w:r>
        <w:rPr>
          <w:rFonts w:ascii="Arial" w:hAnsi="Arial"/>
          <w:i w:val="0"/>
          <w:color w:val="000000"/>
          <w:sz w:val="24"/>
        </w:rPr>
        <w:t>Coalition convenings — A shared starting point across issue areas. The simulator touches healthcare, food, housing, childcare, and education simultaneously.</w:t>
      </w:r>
    </w:p>
    <w:p>
      <w:pPr>
        <w:pStyle w:val="ListBullet"/>
        <w:spacing w:after="160"/>
      </w:pPr>
      <w:r>
        <w:rPr>
          <w:rFonts w:ascii="Arial" w:hAnsi="Arial"/>
          <w:i w:val="0"/>
          <w:color w:val="000000"/>
          <w:sz w:val="24"/>
        </w:rPr>
        <w:t>Classrooms and workshops — Pairs with a discussion on budget priorities and values. Works for high school civics through graduate policy seminars.</w:t>
      </w:r>
    </w:p>
    <w:p>
      <w:pPr>
        <w:pStyle w:val="Heading1"/>
        <w:spacing w:after="240"/>
      </w:pPr>
      <w:r>
        <w:rPr>
          <w:rFonts w:ascii="Arial" w:hAnsi="Arial"/>
          <w:b/>
          <w:color w:val="0091AD"/>
          <w:sz w:val="56"/>
        </w:rPr>
        <w:t>Running the Experience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Plan for 20–35 minutes: 10 on the simulator, 10–25 for discussion.</w:t>
      </w:r>
    </w:p>
    <w:p>
      <w:pPr>
        <w:pStyle w:val="ListNumber"/>
        <w:spacing w:after="160"/>
      </w:pPr>
      <w:r>
        <w:rPr>
          <w:rFonts w:ascii="Arial" w:hAnsi="Arial"/>
          <w:color w:val="000000"/>
          <w:sz w:val="24"/>
        </w:rPr>
        <w:t>Before: Test the simulator link on the device you’ll use. Projecting? Open full-screen. Individual devices? Have the URL ready to share (text, QR code, or printed handout).</w:t>
      </w:r>
    </w:p>
    <w:p>
      <w:pPr>
        <w:pStyle w:val="ListNumber"/>
        <w:spacing w:after="160"/>
      </w:pPr>
      <w:r>
        <w:rPr>
          <w:rFonts w:ascii="Arial" w:hAnsi="Arial"/>
          <w:color w:val="000000"/>
          <w:sz w:val="24"/>
        </w:rPr>
        <w:t>Frame it simply: “Before we talk about what’s happening in [policy area], I want you to experience it. You’re going to meet a family. You’re going to see their budget. And you’re going to make the same choices Congress just made.”</w:t>
      </w:r>
    </w:p>
    <w:p>
      <w:pPr>
        <w:pStyle w:val="ListNumber"/>
        <w:spacing w:after="160"/>
      </w:pPr>
      <w:r>
        <w:rPr>
          <w:rFonts w:ascii="Arial" w:hAnsi="Arial"/>
          <w:color w:val="000000"/>
          <w:sz w:val="24"/>
        </w:rPr>
        <w:t>Give participants 8–10 minutes. Don’t narrate. Don’t explain. Let the experience do the work. The silence is the point.</w:t>
      </w:r>
    </w:p>
    <w:p>
      <w:pPr>
        <w:pStyle w:val="ListNumber"/>
        <w:spacing w:after="160"/>
      </w:pPr>
      <w:r>
        <w:rPr>
          <w:rFonts w:ascii="Arial" w:hAnsi="Arial"/>
          <w:color w:val="000000"/>
          <w:sz w:val="24"/>
        </w:rPr>
        <w:t>When most people have finished, pause. Ask: “What was that like?” Then move into the discussion questions below.</w:t>
      </w:r>
    </w:p>
    <w:p>
      <w:pPr>
        <w:pStyle w:val="Heading1"/>
        <w:spacing w:after="240"/>
      </w:pPr>
      <w:r>
        <w:rPr>
          <w:rFonts w:ascii="Arial" w:hAnsi="Arial"/>
          <w:b/>
          <w:color w:val="0091AD"/>
          <w:sz w:val="56"/>
        </w:rPr>
        <w:t>Discussion Questions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Start with the open-ended question. Then choose 2–3 follow-ups based on your audience and goals.</w:t>
      </w:r>
    </w:p>
    <w:p>
      <w:pPr>
        <w:pStyle w:val="Heading2"/>
        <w:spacing w:after="240"/>
      </w:pPr>
      <w:r>
        <w:rPr>
          <w:rFonts w:ascii="Arial" w:hAnsi="Arial"/>
          <w:b/>
          <w:color w:val="000000"/>
          <w:sz w:val="44"/>
        </w:rPr>
        <w:t>Opening</w:t>
      </w:r>
    </w:p>
    <w:p>
      <w:pPr>
        <w:pStyle w:val="ListBullet"/>
        <w:spacing w:after="160"/>
      </w:pPr>
      <w:r>
        <w:rPr>
          <w:rFonts w:ascii="Arial" w:hAnsi="Arial"/>
          <w:i/>
          <w:color w:val="000000"/>
          <w:sz w:val="24"/>
        </w:rPr>
        <w:t>“What was that like?”</w:t>
      </w:r>
    </w:p>
    <w:p>
      <w:pPr>
        <w:pStyle w:val="ListBullet"/>
        <w:spacing w:after="160"/>
      </w:pPr>
      <w:r>
        <w:rPr>
          <w:rFonts w:ascii="Arial" w:hAnsi="Arial"/>
          <w:i/>
          <w:color w:val="000000"/>
          <w:sz w:val="24"/>
        </w:rPr>
        <w:t>“What surprised you?”</w:t>
      </w:r>
    </w:p>
    <w:p>
      <w:pPr>
        <w:pStyle w:val="Heading2"/>
        <w:spacing w:after="240"/>
      </w:pPr>
      <w:r>
        <w:rPr>
          <w:rFonts w:ascii="Arial" w:hAnsi="Arial"/>
          <w:b/>
          <w:color w:val="000000"/>
          <w:sz w:val="44"/>
        </w:rPr>
        <w:t>For community audiences</w:t>
      </w:r>
    </w:p>
    <w:p>
      <w:pPr>
        <w:pStyle w:val="ListBullet"/>
        <w:spacing w:after="160"/>
      </w:pPr>
      <w:r>
        <w:rPr>
          <w:rFonts w:ascii="Arial" w:hAnsi="Arial"/>
          <w:i/>
          <w:color w:val="000000"/>
          <w:sz w:val="24"/>
        </w:rPr>
        <w:t>“Did this feel familiar? Does this look like anyone you know?”</w:t>
      </w:r>
    </w:p>
    <w:p>
      <w:pPr>
        <w:pStyle w:val="ListBullet"/>
        <w:spacing w:after="160"/>
      </w:pPr>
      <w:r>
        <w:rPr>
          <w:rFonts w:ascii="Arial" w:hAnsi="Arial"/>
          <w:i/>
          <w:color w:val="000000"/>
          <w:sz w:val="24"/>
        </w:rPr>
        <w:t>“What would you have to give up if these cuts happened to your family?”</w:t>
      </w:r>
    </w:p>
    <w:p>
      <w:pPr>
        <w:pStyle w:val="ListBullet"/>
        <w:spacing w:after="160"/>
      </w:pPr>
      <w:r>
        <w:rPr>
          <w:rFonts w:ascii="Arial" w:hAnsi="Arial"/>
          <w:i/>
          <w:color w:val="000000"/>
          <w:sz w:val="24"/>
        </w:rPr>
        <w:t>“Who in our community is already making these tradeoffs?”</w:t>
      </w:r>
    </w:p>
    <w:p>
      <w:pPr>
        <w:pStyle w:val="Heading2"/>
        <w:spacing w:after="240"/>
      </w:pPr>
      <w:r>
        <w:rPr>
          <w:rFonts w:ascii="Arial" w:hAnsi="Arial"/>
          <w:b/>
          <w:color w:val="000000"/>
          <w:sz w:val="44"/>
        </w:rPr>
        <w:t>For donors and board members</w:t>
      </w:r>
    </w:p>
    <w:p>
      <w:pPr>
        <w:pStyle w:val="ListBullet"/>
        <w:spacing w:after="160"/>
      </w:pPr>
      <w:r>
        <w:rPr>
          <w:rFonts w:ascii="Arial" w:hAnsi="Arial"/>
          <w:i/>
          <w:color w:val="000000"/>
          <w:sz w:val="24"/>
        </w:rPr>
        <w:t>“If this family lived in the community we serve, what would they need from us?”</w:t>
      </w:r>
    </w:p>
    <w:p>
      <w:pPr>
        <w:pStyle w:val="ListBullet"/>
        <w:spacing w:after="160"/>
      </w:pPr>
      <w:r>
        <w:rPr>
          <w:rFonts w:ascii="Arial" w:hAnsi="Arial"/>
          <w:i/>
          <w:color w:val="000000"/>
          <w:sz w:val="24"/>
        </w:rPr>
        <w:t>“What does this tell us about the gap between what government provides and what families actually need?”</w:t>
      </w:r>
    </w:p>
    <w:p>
      <w:pPr>
        <w:pStyle w:val="ListBullet"/>
        <w:spacing w:after="160"/>
      </w:pPr>
      <w:r>
        <w:rPr>
          <w:rFonts w:ascii="Arial" w:hAnsi="Arial"/>
          <w:i/>
          <w:color w:val="000000"/>
          <w:sz w:val="24"/>
        </w:rPr>
        <w:t>“How does this change how you think about our organization’s role?”</w:t>
      </w:r>
    </w:p>
    <w:p>
      <w:pPr>
        <w:pStyle w:val="Heading2"/>
        <w:spacing w:after="240"/>
      </w:pPr>
      <w:r>
        <w:rPr>
          <w:rFonts w:ascii="Arial" w:hAnsi="Arial"/>
          <w:b/>
          <w:color w:val="000000"/>
          <w:sz w:val="44"/>
        </w:rPr>
        <w:t>For coalitions and advocacy groups</w:t>
      </w:r>
    </w:p>
    <w:p>
      <w:pPr>
        <w:pStyle w:val="ListBullet"/>
        <w:spacing w:after="160"/>
      </w:pPr>
      <w:r>
        <w:rPr>
          <w:rFonts w:ascii="Arial" w:hAnsi="Arial"/>
          <w:i/>
          <w:color w:val="000000"/>
          <w:sz w:val="24"/>
        </w:rPr>
        <w:t>“Which cuts intersect with the issue area your organization works on?”</w:t>
      </w:r>
    </w:p>
    <w:p>
      <w:pPr>
        <w:pStyle w:val="ListBullet"/>
        <w:spacing w:after="160"/>
      </w:pPr>
      <w:r>
        <w:rPr>
          <w:rFonts w:ascii="Arial" w:hAnsi="Arial"/>
          <w:i/>
          <w:color w:val="000000"/>
          <w:sz w:val="24"/>
        </w:rPr>
        <w:t>“What’s the story you would tell about this family to a policymaker?”</w:t>
      </w:r>
    </w:p>
    <w:p>
      <w:pPr>
        <w:pStyle w:val="ListBullet"/>
        <w:spacing w:after="160"/>
      </w:pPr>
      <w:r>
        <w:rPr>
          <w:rFonts w:ascii="Arial" w:hAnsi="Arial"/>
          <w:i/>
          <w:color w:val="000000"/>
          <w:sz w:val="24"/>
        </w:rPr>
        <w:t>“If we had to pick one number from this experience to lead with, what would it be?”</w:t>
      </w:r>
    </w:p>
    <w:p>
      <w:pPr>
        <w:pStyle w:val="Heading1"/>
        <w:spacing w:after="240"/>
      </w:pPr>
      <w:r>
        <w:rPr>
          <w:rFonts w:ascii="Arial" w:hAnsi="Arial"/>
          <w:b/>
          <w:color w:val="0091AD"/>
          <w:sz w:val="56"/>
        </w:rPr>
        <w:t>Closing the Session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End with action, not information. After the debrief, offer one concrete next step: a signup, a call to action, a follow-up meeting, a resource to take home. The simulator creates urgency. Don’t let it dissipate into “thank you for coming.”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Suggested closing: “You just made the choices that Congress made. The difference is, you didn’t have to. They did. And they chose this. The question is what we do next.”</w:t>
      </w:r>
    </w:p>
    <w:p>
      <w:pPr>
        <w:pStyle w:val="Heading1"/>
        <w:spacing w:after="240"/>
      </w:pPr>
      <w:r>
        <w:rPr>
          <w:rFonts w:ascii="Arial" w:hAnsi="Arial"/>
          <w:b/>
          <w:color w:val="0091AD"/>
          <w:sz w:val="56"/>
        </w:rPr>
        <w:t>How to Embed the Simulator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Embed the simulator on any webpage using an iframe. Copy the code from the embed file included with this guide, or use the URL directly: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https://www.mboldenchange.org/simulator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Want a version with households from your own community? Reach out to action@mboldenchange.org and we’ll build one with you.</w:t>
      </w:r>
    </w:p>
    <w:p/>
    <w:p>
      <w:pPr>
        <w:spacing w:before="400"/>
      </w:pPr>
      <w:r>
        <w:rPr>
          <w:i/>
          <w:color w:val="555555"/>
          <w:sz w:val="20"/>
        </w:rPr>
        <w:t>Free to use, adapt, and brand as your own.</w:t>
      </w:r>
    </w:p>
    <w:p>
      <w:r>
        <w:rPr>
          <w:color w:val="555555"/>
          <w:sz w:val="20"/>
        </w:rPr>
        <w:t>mBOLDen Change · mboldenchange.org · action@mboldenchange.org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