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0" w:after="600"/>
        <w:jc w:val="center"/>
      </w:pPr>
      <w:r>
        <w:rPr>
          <w:rFonts w:ascii="Arial" w:hAnsi="Arial"/>
          <w:color w:val="000000"/>
          <w:sz w:val="32"/>
        </w:rPr>
        <w:t>FRAMEWORK BRIEF · PUBLIC EDUCATION AND NARRATIVE INFRASTRUCTURE</w:t>
      </w:r>
    </w:p>
    <w:p>
      <w:pPr>
        <w:spacing w:after="1000"/>
        <w:jc w:val="center"/>
      </w:pPr>
      <w:r>
        <w:rPr>
          <w:rFonts w:ascii="Arial" w:hAnsi="Arial"/>
          <w:b/>
          <w:color w:val="0091AD"/>
          <w:sz w:val="80"/>
        </w:rPr>
        <w:t>Show Us a Budget and We'll Show You a Values System</w:t>
      </w:r>
    </w:p>
    <w:p>
      <w:pPr>
        <w:spacing w:after="2000"/>
        <w:jc w:val="center"/>
      </w:pPr>
      <w:r>
        <w:rPr>
          <w:rFonts w:ascii="Arial" w:hAnsi="Arial"/>
          <w:i/>
          <w:color w:val="000000"/>
          <w:sz w:val="24"/>
        </w:rPr>
        <w:t>A framework and worksheet for translating policy choices into values arguments</w:t>
      </w:r>
    </w:p>
    <w:p>
      <w:pPr>
        <w:spacing w:before="1000"/>
        <w:jc w:val="center"/>
      </w:pPr>
      <w:r>
        <w:rPr>
          <w:rFonts w:ascii="Arial" w:hAnsi="Arial"/>
          <w:color w:val="555555"/>
          <w:sz w:val="20"/>
        </w:rPr>
        <w:t>mBOLDen Change · mboldenchange.org</w:t>
      </w:r>
    </w:p>
    <w:p>
      <w:r>
        <w:br w:type="page"/>
      </w:r>
    </w:p>
    <w:p>
      <w:pPr>
        <w:spacing w:after="400"/>
      </w:pPr>
      <w:r>
        <w:drawing>
          <wp:inline xmlns:a="http://schemas.openxmlformats.org/drawingml/2006/main" xmlns:pic="http://schemas.openxmlformats.org/drawingml/2006/picture">
            <wp:extent cx="1828800" cy="121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</w:pPr>
      <w:r>
        <w:rPr>
          <w:rFonts w:ascii="Arial" w:hAnsi="Arial"/>
          <w:color w:val="000000"/>
          <w:sz w:val="24"/>
        </w:rPr>
        <w:t>Every policy fight is a values fight. Most campaigns never get there. They argue the mechanics — the size of a cut, the details of a regulation, the cost of a bill — and lose before the real argument starts.</w:t>
      </w:r>
    </w:p>
    <w:p>
      <w:pPr>
        <w:spacing w:after="200"/>
      </w:pPr>
      <w:r>
        <w:rPr>
          <w:rFonts w:ascii="Arial" w:hAnsi="Arial"/>
          <w:color w:val="000000"/>
          <w:sz w:val="24"/>
        </w:rPr>
        <w:t>This framework starts somewhere else: concrete choices reveal actual values. Not the values we claim. The values embedded in what we fund, who we protect, and what we let slide. A budget is a values statement. So is a zoning code, a sentencing guideline, a subsidy. Show us the choice and we’ll show you the values.</w:t>
      </w:r>
    </w:p>
    <w:p>
      <w:pPr>
        <w:spacing w:after="400"/>
      </w:pPr>
      <w:r>
        <w:rPr>
          <w:rFonts w:ascii="Arial" w:hAnsi="Arial"/>
          <w:color w:val="000000"/>
          <w:sz w:val="24"/>
        </w:rPr>
        <w:t>The worksheet below is the tool. Use it to move any campaign from a technical policy debate to a human values argument.</w:t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The Values Translator</w:t>
      </w:r>
    </w:p>
    <w:p>
      <w:pPr>
        <w:pStyle w:val="Heading2"/>
        <w:spacing w:after="200"/>
      </w:pPr>
      <w:r>
        <w:rPr>
          <w:rFonts w:ascii="Arial" w:hAnsi="Arial"/>
          <w:b/>
          <w:color w:val="000000"/>
          <w:sz w:val="36"/>
        </w:rPr>
        <w:t>Step 1: The Cold, Hard Choice</w:t>
      </w:r>
    </w:p>
    <w:p>
      <w:pPr>
        <w:spacing w:after="160"/>
      </w:pPr>
      <w:r>
        <w:rPr>
          <w:rFonts w:ascii="Arial" w:hAnsi="Arial"/>
          <w:color w:val="000000"/>
          <w:sz w:val="24"/>
        </w:rPr>
        <w:t>Identify one specific, concrete policy choice — a budget line, a zoning code, a subsidy, a regulation.</w:t>
      </w:r>
    </w:p>
    <w:p>
      <w:pPr>
        <w:spacing w:after="400"/>
      </w:pPr>
      <w:r>
        <w:rPr>
          <w:rFonts w:ascii="Arial" w:hAnsi="Arial"/>
          <w:b/>
          <w:color w:val="000000"/>
          <w:sz w:val="24"/>
        </w:rPr>
        <w:t xml:space="preserve">The Choice: </w:t>
      </w:r>
      <w:r>
        <w:rPr>
          <w:rFonts w:ascii="Arial" w:hAnsi="Arial"/>
          <w:color w:val="999999"/>
          <w:sz w:val="24"/>
        </w:rPr>
        <w:t>________________________________________________________</w:t>
      </w:r>
    </w:p>
    <w:p>
      <w:pPr>
        <w:pStyle w:val="Heading2"/>
        <w:spacing w:after="200"/>
      </w:pPr>
      <w:r>
        <w:rPr>
          <w:rFonts w:ascii="Arial" w:hAnsi="Arial"/>
          <w:b/>
          <w:color w:val="000000"/>
          <w:sz w:val="36"/>
        </w:rPr>
        <w:t>Step 2: The Human Trace</w:t>
      </w:r>
    </w:p>
    <w:p>
      <w:pPr>
        <w:spacing w:after="160"/>
      </w:pPr>
      <w:r>
        <w:rPr>
          <w:rFonts w:ascii="Arial" w:hAnsi="Arial"/>
          <w:color w:val="000000"/>
          <w:sz w:val="24"/>
        </w:rPr>
        <w:t>Trace that choice to its human cost. Who does this decision expose? What does it cost a specific family — in dollars, in decisions, in consequences?</w:t>
      </w:r>
    </w:p>
    <w:p>
      <w:pPr>
        <w:spacing w:after="200"/>
      </w:pPr>
      <w:r>
        <w:rPr>
          <w:rFonts w:ascii="Arial" w:hAnsi="Arial"/>
          <w:b/>
          <w:color w:val="000000"/>
          <w:sz w:val="24"/>
        </w:rPr>
        <w:t xml:space="preserve">Who is affected? </w:t>
      </w:r>
      <w:r>
        <w:rPr>
          <w:rFonts w:ascii="Arial" w:hAnsi="Arial"/>
          <w:color w:val="999999"/>
          <w:sz w:val="24"/>
        </w:rPr>
        <w:t>________________________________________________</w:t>
      </w:r>
    </w:p>
    <w:p>
      <w:pPr>
        <w:spacing w:after="400"/>
      </w:pPr>
      <w:r>
        <w:rPr>
          <w:rFonts w:ascii="Arial" w:hAnsi="Arial"/>
          <w:b/>
          <w:color w:val="000000"/>
          <w:sz w:val="24"/>
        </w:rPr>
        <w:t xml:space="preserve">What is the real-world consequence? </w:t>
      </w:r>
      <w:r>
        <w:rPr>
          <w:rFonts w:ascii="Arial" w:hAnsi="Arial"/>
          <w:color w:val="999999"/>
          <w:sz w:val="24"/>
        </w:rPr>
        <w:t>________________________________</w:t>
      </w:r>
    </w:p>
    <w:p>
      <w:pPr>
        <w:pStyle w:val="Heading2"/>
        <w:spacing w:after="200"/>
      </w:pPr>
      <w:r>
        <w:rPr>
          <w:rFonts w:ascii="Arial" w:hAnsi="Arial"/>
          <w:b/>
          <w:color w:val="000000"/>
          <w:sz w:val="36"/>
        </w:rPr>
        <w:t>Step 3: The Reveal</w:t>
      </w:r>
    </w:p>
    <w:p>
      <w:pPr>
        <w:spacing w:after="160"/>
      </w:pPr>
      <w:r>
        <w:rPr>
          <w:rFonts w:ascii="Arial" w:hAnsi="Arial"/>
          <w:color w:val="000000"/>
          <w:sz w:val="24"/>
        </w:rPr>
        <w:t>What does this choice say about who matters? Name the value the policy actually reinforces — not the one in the mission statement, but the one embedded in the funding.</w:t>
      </w:r>
    </w:p>
    <w:p>
      <w:pPr>
        <w:spacing w:after="200"/>
      </w:pPr>
      <w:r>
        <w:rPr>
          <w:rFonts w:ascii="Arial" w:hAnsi="Arial"/>
          <w:b/>
          <w:color w:val="000000"/>
          <w:sz w:val="24"/>
        </w:rPr>
        <w:t xml:space="preserve">The Stated Value: </w:t>
      </w:r>
      <w:r>
        <w:rPr>
          <w:rFonts w:ascii="Arial" w:hAnsi="Arial"/>
          <w:color w:val="999999"/>
          <w:sz w:val="24"/>
        </w:rPr>
        <w:t>_______________________________________________</w:t>
      </w:r>
    </w:p>
    <w:p>
      <w:pPr>
        <w:spacing w:after="400"/>
      </w:pPr>
      <w:r>
        <w:rPr>
          <w:rFonts w:ascii="Arial" w:hAnsi="Arial"/>
          <w:b/>
          <w:color w:val="000000"/>
          <w:sz w:val="24"/>
        </w:rPr>
        <w:t xml:space="preserve">The Revealed Value: </w:t>
      </w:r>
      <w:r>
        <w:rPr>
          <w:rFonts w:ascii="Arial" w:hAnsi="Arial"/>
          <w:color w:val="999999"/>
          <w:sz w:val="24"/>
        </w:rPr>
        <w:t>______________________________________________</w:t>
      </w:r>
    </w:p>
    <w:p>
      <w:pPr>
        <w:pStyle w:val="Heading2"/>
        <w:spacing w:after="200"/>
      </w:pPr>
      <w:r>
        <w:rPr>
          <w:rFonts w:ascii="Arial" w:hAnsi="Arial"/>
          <w:b/>
          <w:color w:val="000000"/>
          <w:sz w:val="36"/>
        </w:rPr>
        <w:t>Step 4: The Invitation</w:t>
      </w:r>
    </w:p>
    <w:p>
      <w:pPr>
        <w:spacing w:after="160"/>
      </w:pPr>
      <w:r>
        <w:rPr>
          <w:rFonts w:ascii="Arial" w:hAnsi="Arial"/>
          <w:color w:val="000000"/>
          <w:sz w:val="24"/>
        </w:rPr>
        <w:t>Shift from implication to invitation. Not guilt — a different collective choice.</w:t>
      </w:r>
    </w:p>
    <w:p>
      <w:pPr>
        <w:spacing w:after="200"/>
      </w:pPr>
      <w:r>
        <w:rPr>
          <w:rFonts w:ascii="Arial" w:hAnsi="Arial"/>
          <w:b/>
          <w:color w:val="000000"/>
          <w:sz w:val="24"/>
        </w:rPr>
        <w:t xml:space="preserve">The Pivot: </w:t>
      </w:r>
      <w:r>
        <w:rPr>
          <w:rFonts w:ascii="Arial" w:hAnsi="Arial"/>
          <w:i/>
          <w:color w:val="555555"/>
          <w:sz w:val="24"/>
        </w:rPr>
        <w:t>“Instead of choosing [Revealed Value], we can choose to build [New Vision].”</w:t>
      </w:r>
    </w:p>
    <w:p>
      <w:pPr>
        <w:spacing w:after="400"/>
      </w:pPr>
      <w:r>
        <w:rPr>
          <w:rFonts w:ascii="Arial" w:hAnsi="Arial"/>
          <w:b/>
          <w:color w:val="000000"/>
          <w:sz w:val="24"/>
        </w:rPr>
        <w:t xml:space="preserve">The Call to Action: </w:t>
      </w:r>
      <w:r>
        <w:rPr>
          <w:rFonts w:ascii="Arial" w:hAnsi="Arial"/>
          <w:color w:val="999999"/>
          <w:sz w:val="24"/>
        </w:rPr>
        <w:t>_____________________________________________</w:t>
      </w:r>
    </w:p>
    <w:p>
      <w:r>
        <w:br w:type="page"/>
      </w:r>
    </w:p>
    <w:p>
      <w:pPr>
        <w:pStyle w:val="Heading1"/>
        <w:spacing w:after="240"/>
      </w:pPr>
      <w:r>
        <w:rPr>
          <w:rFonts w:ascii="Arial" w:hAnsi="Arial"/>
          <w:b/>
          <w:color w:val="0091AD"/>
          <w:sz w:val="56"/>
        </w:rPr>
        <w:t>Translation Examples</w:t>
      </w:r>
    </w:p>
    <w:p>
      <w:pPr>
        <w:spacing w:after="300"/>
      </w:pPr>
      <w:r>
        <w:rPr>
          <w:rFonts w:ascii="Arial" w:hAnsi="Arial"/>
          <w:color w:val="000000"/>
          <w:sz w:val="24"/>
        </w:rPr>
        <w:t>Use these as a guide. The policy choice changes. The translation method does not.</w:t>
      </w:r>
    </w:p>
    <w:tbl>
      <w:tblPr>
        <w:tblStyle w:val="LightGrid-Accent1"/>
        <w:tblW w:type="dxa" w:w="9360"/>
        <w:tblLook w:firstColumn="1" w:firstRow="1" w:lastColumn="0" w:lastRow="0" w:noHBand="0" w:noVBand="1" w:val="04A0"/>
      </w:tblPr>
      <w:tblGrid>
        <w:gridCol w:w="2200"/>
        <w:gridCol w:w="4160"/>
        <w:gridCol w:w="3000"/>
      </w:tblGrid>
      <w:tr>
        <w:tc>
          <w:tcPr>
            <w:tcW w:type="dxa" w:w="2200"/>
            <w:shd w:fill="0091AD" w:val="clear"/>
          </w:tcPr>
          <w:p>
            <w:pPr>
              <w:spacing w:after="0"/>
            </w:pPr>
            <w:r>
              <w:rPr>
                <w:b/>
                <w:color w:val="FFFFFF"/>
                <w:sz w:val="20"/>
                <w:rFonts w:ascii="Arial" w:hAnsi="Arial"/>
              </w:rPr>
              <w:t>The Policy Choice</w:t>
            </w:r>
          </w:p>
        </w:tc>
        <w:tc>
          <w:tcPr>
            <w:tcW w:type="dxa" w:w="4160"/>
            <w:shd w:fill="0091AD" w:val="clear"/>
          </w:tcPr>
          <w:p>
            <w:pPr>
              <w:spacing w:after="0"/>
            </w:pPr>
            <w:r>
              <w:rPr>
                <w:b/>
                <w:color w:val="FFFFFF"/>
                <w:sz w:val="20"/>
                <w:rFonts w:ascii="Arial" w:hAnsi="Arial"/>
              </w:rPr>
              <w:t>The Human Cost</w:t>
            </w:r>
          </w:p>
        </w:tc>
        <w:tc>
          <w:tcPr>
            <w:tcW w:type="dxa" w:w="3000"/>
            <w:shd w:fill="0091AD" w:val="clear"/>
          </w:tcPr>
          <w:p>
            <w:pPr>
              <w:spacing w:after="0"/>
            </w:pPr>
            <w:r>
              <w:rPr>
                <w:b/>
                <w:color w:val="FFFFFF"/>
                <w:sz w:val="20"/>
                <w:rFonts w:ascii="Arial" w:hAnsi="Arial"/>
              </w:rPr>
              <w:t>The Revealed Value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Healthcare consolidation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family pays $27K in premiums with a $6K deductible. The nearest hospital raised prices 3.6% — there’s no competition left.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industry profit margins over human survival.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Medicaid cuts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rural hospital closes. The nearest ER is now 45 minutes away. A neighbor’s ambulance ride costs more than a month’s rent.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deficit reduction over whether people survive emergencies.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SNAP cuts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62-year-old school bus driver loses food assistance. She chooses between blood pressure medication and a full week of meals.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fiscal discipline over whether seniors eat.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Housing costs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credentialed teacher cannot afford to buy a home in the district she serves. An algorithm told every major landlord in her zip code to raise rents simultaneously.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property appreciation and investor returns over community stability.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Childcare costs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two-income household pays $26K/year in childcare. The second income nets $3/hour after childcare, taxes, and commuting. The “choice” to stay home is math, not preference.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workforce participation in theory but refuse to fund the infrastructure that makes it possible.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Education funding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high school loses three math teachers in two years. A kid 20 minutes away stocks shelves at $17/hour instead of studying engineering. Pell Grants cover 27% of tuition today; they covered 80% in 1975.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the zip code you were born in over your right to thrive.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Tax policy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billionaire’s effective tax rate is lower than a firefighter’s. The $606B annual tax gap is backfilled with cuts to services the firefighter’s family uses.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wealth preservation over shared investment.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Energy subsidies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Fossil fuels get $35B/year in federal subsidies while solar is 41% cheaper. Low-income households carry 3x the energy burden. The industry spent $219M to influence the 2024 election.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fossil fuel shareholder returns over breathable air and stable energy costs.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Immigration enforcement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ICE budget jumps 400% in one year. A parent detained during a traffic stop. Children placed in temporary custody. The family had been here 14 years.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enforcement theater over family stability.</w:t>
            </w:r>
          </w:p>
        </w:tc>
      </w:tr>
      <w:tr>
        <w:tc>
          <w:tcPr>
            <w:tcW w:type="dxa" w:w="2200"/>
          </w:tcPr>
          <w:p>
            <w:pPr>
              <w:spacing w:after="0"/>
            </w:pPr>
            <w:r>
              <w:rPr>
                <w:b/>
                <w:sz w:val="20"/>
                <w:rFonts w:ascii="Arial" w:hAnsi="Arial"/>
              </w:rPr>
              <w:t>Zoning restrictions</w:t>
            </w:r>
          </w:p>
        </w:tc>
        <w:tc>
          <w:tcPr>
            <w:tcW w:type="dxa" w:w="416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A tech campus approved for 25,000 workers; only 7,000 housing units approved nearby. Home prices within commuting distance jump 7%. The people who built the community can no longer afford it.</w:t>
            </w:r>
          </w:p>
        </w:tc>
        <w:tc>
          <w:tcPr>
            <w:tcW w:type="dxa" w:w="3000"/>
          </w:tcPr>
          <w:p>
            <w:pPr>
              <w:spacing w:after="0"/>
            </w:pPr>
            <w:r>
              <w:rPr>
                <w:sz w:val="20"/>
                <w:rFonts w:ascii="Arial" w:hAnsi="Arial"/>
              </w:rPr>
              <w:t>We value corporate expansion over the communities that absorb its costs.</w:t>
            </w:r>
          </w:p>
        </w:tc>
      </w:tr>
    </w:tbl>
    <w:p/>
    <w:p>
      <w:pPr>
        <w:pStyle w:val="Heading1"/>
        <w:spacing w:before="400" w:after="240"/>
      </w:pPr>
      <w:r>
        <w:rPr>
          <w:rFonts w:ascii="Arial" w:hAnsi="Arial"/>
          <w:b/>
          <w:color w:val="0091AD"/>
          <w:sz w:val="44"/>
        </w:rPr>
        <w:t>The mBOLDen Reminder</w:t>
      </w:r>
    </w:p>
    <w:p>
      <w:pPr>
        <w:spacing w:after="120"/>
      </w:pPr>
      <w:r>
        <w:rPr>
          <w:rFonts w:ascii="Arial" w:hAnsi="Arial"/>
          <w:b/>
          <w:color w:val="000000"/>
          <w:sz w:val="24"/>
        </w:rPr>
        <w:t>Guilt closes people down.</w:t>
      </w:r>
    </w:p>
    <w:p>
      <w:pPr>
        <w:spacing w:after="120"/>
      </w:pPr>
      <w:r>
        <w:rPr>
          <w:rFonts w:ascii="Arial" w:hAnsi="Arial"/>
          <w:b/>
          <w:color w:val="000000"/>
          <w:sz w:val="24"/>
        </w:rPr>
        <w:t>Implication and invitation open them up.</w:t>
      </w:r>
    </w:p>
    <w:p>
      <w:pPr>
        <w:spacing w:after="400"/>
      </w:pPr>
      <w:r>
        <w:rPr>
          <w:rFonts w:ascii="Arial" w:hAnsi="Arial"/>
          <w:b/>
          <w:color w:val="000000"/>
          <w:sz w:val="24"/>
        </w:rPr>
        <w:t>Culture change is slow, intentional, and possible.</w:t>
      </w:r>
    </w:p>
    <w:p>
      <w:pPr>
        <w:spacing w:after="200"/>
      </w:pPr>
      <w:r>
        <w:rPr>
          <w:rFonts w:ascii="Arial" w:hAnsi="Arial"/>
          <w:i/>
          <w:color w:val="555555"/>
          <w:sz w:val="20"/>
        </w:rPr>
        <w:t>Developed by mBOLDen Change in partnership with the Economic Security Project’s Affordability Campaign Collaborative.</w:t>
      </w:r>
    </w:p>
    <w:p>
      <w:pPr>
        <w:spacing w:after="200"/>
      </w:pPr>
      <w:r>
        <w:rPr>
          <w:rFonts w:ascii="Arial" w:hAnsi="Arial"/>
          <w:i/>
          <w:color w:val="555555"/>
          <w:sz w:val="20"/>
        </w:rPr>
        <w:t>Free to use, adapt, and brand as your own.</w:t>
      </w:r>
    </w:p>
    <w:p/>
    <w:p>
      <w:r>
        <w:rPr>
          <w:color w:val="555555"/>
          <w:sz w:val="20"/>
        </w:rPr>
        <w:t>mBOLDen Change · mboldenchange.org · mboldenaction.org · Fueling what works. Fighting for what’s needed.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